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E2B77" w:rsidRPr="00EE2B77" w14:paraId="433EBDF9" w14:textId="77777777" w:rsidTr="00EE2B77">
        <w:tc>
          <w:tcPr>
            <w:tcW w:w="9010" w:type="dxa"/>
          </w:tcPr>
          <w:p w14:paraId="07B84514" w14:textId="77777777" w:rsidR="00EE2B77" w:rsidRP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Dear Parent/Carer/Colleague,</w:t>
            </w:r>
          </w:p>
        </w:tc>
      </w:tr>
      <w:tr w:rsidR="00EE2B77" w:rsidRPr="00EE2B77" w14:paraId="0E33A97A" w14:textId="77777777" w:rsidTr="00EE2B77">
        <w:tc>
          <w:tcPr>
            <w:tcW w:w="9010" w:type="dxa"/>
          </w:tcPr>
          <w:p w14:paraId="590ACBA7" w14:textId="77777777" w:rsidR="00EE2B77" w:rsidRP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 xml:space="preserve">Following our email to you on the </w:t>
            </w:r>
            <w:proofErr w:type="gramStart"/>
            <w:r w:rsidRPr="00EE2B77">
              <w:rPr>
                <w:rFonts w:ascii="Avenir Next" w:hAnsi="Avenir Next" w:cs="Arial"/>
                <w:color w:val="0D0D0D" w:themeColor="text1" w:themeTint="F2"/>
              </w:rPr>
              <w:t>28</w:t>
            </w:r>
            <w:r w:rsidRPr="00EE2B77">
              <w:rPr>
                <w:rFonts w:ascii="Avenir Next" w:hAnsi="Avenir Next" w:cs="Arial"/>
                <w:color w:val="0D0D0D" w:themeColor="text1" w:themeTint="F2"/>
                <w:vertAlign w:val="superscript"/>
              </w:rPr>
              <w:t>th</w:t>
            </w:r>
            <w:proofErr w:type="gramEnd"/>
            <w:r w:rsidRPr="00EE2B77">
              <w:rPr>
                <w:rFonts w:ascii="Avenir Next" w:hAnsi="Avenir Next" w:cs="Arial"/>
                <w:color w:val="0D0D0D" w:themeColor="text1" w:themeTint="F2"/>
              </w:rPr>
              <w:t xml:space="preserve"> February we wanted to write to you again   based on the updated government guidance and their strategy for ‘living with COVID’.</w:t>
            </w:r>
          </w:p>
        </w:tc>
      </w:tr>
      <w:tr w:rsidR="00EE2B77" w:rsidRPr="00EE2B77" w14:paraId="6FB2C766" w14:textId="77777777" w:rsidTr="00EE2B77">
        <w:tc>
          <w:tcPr>
            <w:tcW w:w="9010" w:type="dxa"/>
          </w:tcPr>
          <w:p w14:paraId="6EF95EB2" w14:textId="77777777" w:rsidR="00EE2B77" w:rsidRP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 xml:space="preserve">Since the start of the pandemic, we have always looked to put in place policies that are seen to be fair and transparent as to their logic. </w:t>
            </w:r>
          </w:p>
        </w:tc>
      </w:tr>
      <w:tr w:rsidR="00EE2B77" w:rsidRPr="00EE2B77" w14:paraId="507C79B9" w14:textId="77777777" w:rsidTr="00EE2B77">
        <w:tc>
          <w:tcPr>
            <w:tcW w:w="9010" w:type="dxa"/>
          </w:tcPr>
          <w:p w14:paraId="38989442" w14:textId="77777777" w:rsidR="00EE2B77" w:rsidRP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The most recent changes have shifted a lot of the responsibility for setting guidelines from the government to employers/business through the removal of certain legal enforcements. More detail of these changes, specific to early years can be found</w:t>
            </w:r>
            <w:hyperlink r:id="rId5" w:history="1">
              <w:r w:rsidRPr="00EE2B77">
                <w:rPr>
                  <w:rStyle w:val="Hyperlink"/>
                  <w:rFonts w:ascii="Avenir Next" w:hAnsi="Avenir Next" w:cs="Arial"/>
                  <w:color w:val="0D0D0D" w:themeColor="text1" w:themeTint="F2"/>
                </w:rPr>
                <w:t xml:space="preserve"> here</w:t>
              </w:r>
            </w:hyperlink>
            <w:r w:rsidRPr="00EE2B77">
              <w:rPr>
                <w:rFonts w:ascii="Avenir Next" w:hAnsi="Avenir Next" w:cs="Arial"/>
                <w:color w:val="0D0D0D" w:themeColor="text1" w:themeTint="F2"/>
              </w:rPr>
              <w:t>.</w:t>
            </w:r>
          </w:p>
        </w:tc>
      </w:tr>
      <w:tr w:rsidR="00EE2B77" w:rsidRPr="00EE2B77" w14:paraId="5DA81AC7" w14:textId="77777777" w:rsidTr="00EE2B77">
        <w:tc>
          <w:tcPr>
            <w:tcW w:w="9010" w:type="dxa"/>
          </w:tcPr>
          <w:p w14:paraId="3EE07026" w14:textId="77777777" w:rsid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We have sought advice from our regulatory bodies and would look to adapt our policies as outlined below from 4</w:t>
            </w:r>
            <w:r w:rsidRPr="00EE2B77">
              <w:rPr>
                <w:rFonts w:ascii="Avenir Next" w:hAnsi="Avenir Next" w:cs="Arial"/>
                <w:color w:val="0D0D0D" w:themeColor="text1" w:themeTint="F2"/>
                <w:vertAlign w:val="superscript"/>
              </w:rPr>
              <w:t>th</w:t>
            </w:r>
            <w:r w:rsidRPr="00EE2B77">
              <w:rPr>
                <w:rFonts w:ascii="Avenir Next" w:hAnsi="Avenir Next" w:cs="Arial"/>
                <w:color w:val="0D0D0D" w:themeColor="text1" w:themeTint="F2"/>
              </w:rPr>
              <w:t xml:space="preserve"> April 2022. These will be kept under constant review and updated to align with any future government announcements.</w:t>
            </w:r>
          </w:p>
          <w:p w14:paraId="52568E90" w14:textId="5E92C019" w:rsidR="00EE2B77" w:rsidRPr="00EE2B77" w:rsidRDefault="00EE2B77" w:rsidP="00437F7E">
            <w:pPr>
              <w:pStyle w:val="NormalWeb"/>
              <w:rPr>
                <w:rFonts w:ascii="Avenir Next" w:hAnsi="Avenir Next" w:cs="Arial"/>
                <w:color w:val="0D0D0D" w:themeColor="text1" w:themeTint="F2"/>
              </w:rPr>
            </w:pPr>
          </w:p>
        </w:tc>
      </w:tr>
      <w:tr w:rsidR="00EE2B77" w:rsidRPr="00EE2B77" w14:paraId="5CFA8579" w14:textId="77777777" w:rsidTr="00EE2B77">
        <w:tc>
          <w:tcPr>
            <w:tcW w:w="9010" w:type="dxa"/>
          </w:tcPr>
          <w:p w14:paraId="151836C9" w14:textId="77777777" w:rsidR="00EE2B77" w:rsidRPr="00EE2B77" w:rsidRDefault="00EE2B77" w:rsidP="00437F7E">
            <w:pPr>
              <w:pStyle w:val="NormalWeb"/>
              <w:rPr>
                <w:rFonts w:ascii="Avenir Next" w:hAnsi="Avenir Next" w:cs="Arial"/>
                <w:b/>
                <w:bCs/>
                <w:color w:val="0D0D0D" w:themeColor="text1" w:themeTint="F2"/>
                <w:u w:val="single"/>
              </w:rPr>
            </w:pPr>
            <w:r w:rsidRPr="00EE2B77">
              <w:rPr>
                <w:rFonts w:ascii="Avenir Next" w:hAnsi="Avenir Next" w:cs="Arial"/>
                <w:b/>
                <w:bCs/>
                <w:color w:val="0D0D0D" w:themeColor="text1" w:themeTint="F2"/>
                <w:u w:val="single"/>
              </w:rPr>
              <w:t>Confirmed Positive Cases in Children</w:t>
            </w:r>
          </w:p>
        </w:tc>
      </w:tr>
      <w:tr w:rsidR="00EE2B77" w:rsidRPr="00EE2B77" w14:paraId="424974F9" w14:textId="77777777" w:rsidTr="00EE2B77">
        <w:tc>
          <w:tcPr>
            <w:tcW w:w="9010" w:type="dxa"/>
          </w:tcPr>
          <w:p w14:paraId="11DF659A" w14:textId="77777777" w:rsidR="00EE2B77" w:rsidRPr="00EE2B77" w:rsidRDefault="00EE2B77" w:rsidP="00437F7E">
            <w:pPr>
              <w:rPr>
                <w:rFonts w:ascii="Avenir Next" w:eastAsia="Times New Roman" w:hAnsi="Avenir Next" w:cs="Arial"/>
                <w:color w:val="0D0D0D" w:themeColor="text1" w:themeTint="F2"/>
                <w:lang w:eastAsia="en-GB"/>
              </w:rPr>
            </w:pPr>
            <w:r w:rsidRPr="00EE2B77">
              <w:rPr>
                <w:rFonts w:ascii="Avenir Next" w:eastAsia="Times New Roman" w:hAnsi="Avenir Next" w:cs="Arial"/>
                <w:color w:val="0D0D0D" w:themeColor="text1" w:themeTint="F2"/>
                <w:lang w:eastAsia="en-GB"/>
              </w:rPr>
              <w:t>From the 4</w:t>
            </w:r>
            <w:r w:rsidRPr="00EE2B77">
              <w:rPr>
                <w:rFonts w:ascii="Avenir Next" w:eastAsia="Times New Roman" w:hAnsi="Avenir Next" w:cs="Arial"/>
                <w:color w:val="0D0D0D" w:themeColor="text1" w:themeTint="F2"/>
                <w:vertAlign w:val="superscript"/>
                <w:lang w:eastAsia="en-GB"/>
              </w:rPr>
              <w:t>th</w:t>
            </w:r>
            <w:r w:rsidRPr="00EE2B77">
              <w:rPr>
                <w:rFonts w:ascii="Avenir Next" w:eastAsia="Times New Roman" w:hAnsi="Avenir Next" w:cs="Arial"/>
                <w:color w:val="0D0D0D" w:themeColor="text1" w:themeTint="F2"/>
                <w:lang w:eastAsia="en-GB"/>
              </w:rPr>
              <w:t>April 2022 and as per the Government guidance we are reducing the number of days we will be requesting for children who test positive to stay at home and self-isolate, from 5 to 3 full days. This is not a decision we have taken lightly and something we will keep under constant review. We are continuing to issue isolation credits (up to 3 days) for sessions missed due to a child testing positive for COVID-19.</w:t>
            </w:r>
          </w:p>
        </w:tc>
      </w:tr>
      <w:tr w:rsidR="00EE2B77" w:rsidRPr="00EE2B77" w14:paraId="4358CEB3" w14:textId="77777777" w:rsidTr="00EE2B77">
        <w:tc>
          <w:tcPr>
            <w:tcW w:w="9010" w:type="dxa"/>
          </w:tcPr>
          <w:p w14:paraId="17195EDC" w14:textId="77777777" w:rsidR="00EE2B77" w:rsidRPr="00EE2B77" w:rsidRDefault="00EE2B77" w:rsidP="00437F7E">
            <w:pPr>
              <w:pStyle w:val="NormalWeb"/>
              <w:rPr>
                <w:rFonts w:ascii="Avenir Next" w:hAnsi="Avenir Next" w:cs="Arial"/>
                <w:b/>
                <w:bCs/>
                <w:color w:val="0D0D0D" w:themeColor="text1" w:themeTint="F2"/>
                <w:u w:val="single"/>
              </w:rPr>
            </w:pPr>
            <w:r w:rsidRPr="00EE2B77">
              <w:rPr>
                <w:rFonts w:ascii="Avenir Next" w:hAnsi="Avenir Next" w:cs="Arial"/>
                <w:b/>
                <w:bCs/>
                <w:color w:val="0D0D0D" w:themeColor="text1" w:themeTint="F2"/>
                <w:u w:val="single"/>
              </w:rPr>
              <w:t>Confirmed Positive Cases in Practitioners</w:t>
            </w:r>
          </w:p>
        </w:tc>
      </w:tr>
      <w:tr w:rsidR="00EE2B77" w:rsidRPr="00EE2B77" w14:paraId="005C5FE6" w14:textId="77777777" w:rsidTr="00EE2B77">
        <w:tc>
          <w:tcPr>
            <w:tcW w:w="9010" w:type="dxa"/>
          </w:tcPr>
          <w:p w14:paraId="40FE8C62" w14:textId="77777777" w:rsidR="00EE2B77" w:rsidRPr="00EE2B77" w:rsidRDefault="00EE2B77" w:rsidP="00437F7E">
            <w:pPr>
              <w:pStyle w:val="NormalWeb"/>
              <w:spacing w:after="0"/>
              <w:textAlignment w:val="baseline"/>
              <w:rPr>
                <w:rFonts w:ascii="Avenir Next" w:hAnsi="Avenir Next"/>
                <w:color w:val="0D0D0D" w:themeColor="text1" w:themeTint="F2"/>
              </w:rPr>
            </w:pPr>
            <w:r w:rsidRPr="00EE2B77">
              <w:rPr>
                <w:rFonts w:ascii="Avenir Next" w:hAnsi="Avenir Next"/>
                <w:color w:val="0D0D0D" w:themeColor="text1" w:themeTint="F2"/>
              </w:rPr>
              <w:t>As Employers we have a duty of care to our employees to provide a safe working environment. However, an important change from 4</w:t>
            </w:r>
            <w:r w:rsidRPr="00EE2B77">
              <w:rPr>
                <w:rFonts w:ascii="Avenir Next" w:hAnsi="Avenir Next"/>
                <w:color w:val="0D0D0D" w:themeColor="text1" w:themeTint="F2"/>
                <w:vertAlign w:val="superscript"/>
              </w:rPr>
              <w:t>th</w:t>
            </w:r>
            <w:r w:rsidRPr="00EE2B77">
              <w:rPr>
                <w:rFonts w:ascii="Avenir Next" w:hAnsi="Avenir Next"/>
                <w:color w:val="0D0D0D" w:themeColor="text1" w:themeTint="F2"/>
              </w:rPr>
              <w:t xml:space="preserve"> April 2022 is the removal of the health and safety requirement for every employer to explicitly consider COVID-19 in their risk assessments. </w:t>
            </w:r>
            <w:proofErr w:type="gramStart"/>
            <w:r w:rsidRPr="00EE2B77">
              <w:rPr>
                <w:rFonts w:ascii="Avenir Next" w:hAnsi="Avenir Next"/>
                <w:color w:val="0D0D0D" w:themeColor="text1" w:themeTint="F2"/>
              </w:rPr>
              <w:t>That being said, we</w:t>
            </w:r>
            <w:proofErr w:type="gramEnd"/>
            <w:r w:rsidRPr="00EE2B77">
              <w:rPr>
                <w:rFonts w:ascii="Avenir Next" w:hAnsi="Avenir Next"/>
                <w:color w:val="0D0D0D" w:themeColor="text1" w:themeTint="F2"/>
              </w:rPr>
              <w:t xml:space="preserve"> feel strongly that it is our duty for this to continue to be reviewed and updated.</w:t>
            </w:r>
          </w:p>
        </w:tc>
      </w:tr>
      <w:tr w:rsidR="00EE2B77" w:rsidRPr="00EE2B77" w14:paraId="593903B0" w14:textId="77777777" w:rsidTr="00EE2B77">
        <w:tc>
          <w:tcPr>
            <w:tcW w:w="9010" w:type="dxa"/>
          </w:tcPr>
          <w:p w14:paraId="72D7BB4A" w14:textId="77777777" w:rsidR="00EE2B77" w:rsidRPr="00EE2B77" w:rsidRDefault="00EE2B77" w:rsidP="00437F7E">
            <w:pPr>
              <w:pStyle w:val="NormalWeb"/>
              <w:spacing w:before="225" w:beforeAutospacing="0" w:after="0" w:afterAutospacing="0"/>
              <w:textAlignment w:val="baseline"/>
              <w:rPr>
                <w:rFonts w:ascii="Avenir Next" w:hAnsi="Avenir Next"/>
                <w:color w:val="0D0D0D" w:themeColor="text1" w:themeTint="F2"/>
              </w:rPr>
            </w:pPr>
            <w:r w:rsidRPr="00EE2B77">
              <w:rPr>
                <w:rFonts w:ascii="Avenir Next" w:hAnsi="Avenir Next"/>
                <w:color w:val="0D0D0D" w:themeColor="text1" w:themeTint="F2"/>
              </w:rPr>
              <w:t xml:space="preserve">Having reviewed our risk </w:t>
            </w:r>
            <w:proofErr w:type="gramStart"/>
            <w:r w:rsidRPr="00EE2B77">
              <w:rPr>
                <w:rFonts w:ascii="Avenir Next" w:hAnsi="Avenir Next"/>
                <w:color w:val="0D0D0D" w:themeColor="text1" w:themeTint="F2"/>
              </w:rPr>
              <w:t>assessments</w:t>
            </w:r>
            <w:proofErr w:type="gramEnd"/>
            <w:r w:rsidRPr="00EE2B77">
              <w:rPr>
                <w:rFonts w:ascii="Avenir Next" w:hAnsi="Avenir Next"/>
                <w:color w:val="0D0D0D" w:themeColor="text1" w:themeTint="F2"/>
              </w:rPr>
              <w:t xml:space="preserve"> we </w:t>
            </w:r>
            <w:r w:rsidRPr="00EE2B77">
              <w:rPr>
                <w:rFonts w:ascii="Avenir Next" w:hAnsi="Avenir Next"/>
                <w:color w:val="0D0D0D" w:themeColor="text1" w:themeTint="F2"/>
                <w:u w:val="single"/>
              </w:rPr>
              <w:t>no longer</w:t>
            </w:r>
            <w:r w:rsidRPr="00EE2B77">
              <w:rPr>
                <w:rFonts w:ascii="Avenir Next" w:hAnsi="Avenir Next"/>
                <w:color w:val="0D0D0D" w:themeColor="text1" w:themeTint="F2"/>
              </w:rPr>
              <w:t xml:space="preserve"> require practitioners to notify us if they test positive for COVID-19 and </w:t>
            </w:r>
            <w:r w:rsidRPr="00EE2B77">
              <w:rPr>
                <w:rFonts w:ascii="Avenir Next" w:hAnsi="Avenir Next"/>
                <w:color w:val="0D0D0D" w:themeColor="text1" w:themeTint="F2"/>
                <w:u w:val="single"/>
              </w:rPr>
              <w:t>no longer</w:t>
            </w:r>
            <w:r w:rsidRPr="00EE2B77">
              <w:rPr>
                <w:rFonts w:ascii="Avenir Next" w:hAnsi="Avenir Next"/>
                <w:color w:val="0D0D0D" w:themeColor="text1" w:themeTint="F2"/>
              </w:rPr>
              <w:t xml:space="preserve"> ask for you to self-isolate.</w:t>
            </w:r>
          </w:p>
        </w:tc>
      </w:tr>
      <w:tr w:rsidR="00EE2B77" w:rsidRPr="00EE2B77" w14:paraId="2EE01CB0" w14:textId="77777777" w:rsidTr="00EE2B77">
        <w:tc>
          <w:tcPr>
            <w:tcW w:w="9010" w:type="dxa"/>
          </w:tcPr>
          <w:p w14:paraId="7B4F5E43" w14:textId="77777777" w:rsidR="00EE2B77" w:rsidRPr="00EE2B77" w:rsidRDefault="00EE2B77" w:rsidP="00437F7E">
            <w:pPr>
              <w:pStyle w:val="NormalWeb"/>
              <w:spacing w:before="225" w:beforeAutospacing="0" w:after="0" w:afterAutospacing="0"/>
              <w:textAlignment w:val="baseline"/>
              <w:rPr>
                <w:rFonts w:ascii="Avenir Next" w:hAnsi="Avenir Next"/>
                <w:color w:val="0D0D0D" w:themeColor="text1" w:themeTint="F2"/>
              </w:rPr>
            </w:pPr>
            <w:r w:rsidRPr="00EE2B77">
              <w:rPr>
                <w:rFonts w:ascii="Avenir Next" w:hAnsi="Avenir Next"/>
                <w:color w:val="0D0D0D" w:themeColor="text1" w:themeTint="F2"/>
              </w:rPr>
              <w:t xml:space="preserve">To view our risk assessment please follow this </w:t>
            </w:r>
            <w:hyperlink r:id="rId6" w:history="1">
              <w:r w:rsidRPr="00EE2B77">
                <w:rPr>
                  <w:rStyle w:val="Hyperlink"/>
                  <w:rFonts w:ascii="Avenir Next" w:hAnsi="Avenir Next"/>
                  <w:color w:val="0D0D0D" w:themeColor="text1" w:themeTint="F2"/>
                </w:rPr>
                <w:t>link</w:t>
              </w:r>
            </w:hyperlink>
            <w:r w:rsidRPr="00EE2B77">
              <w:rPr>
                <w:rFonts w:ascii="Avenir Next" w:hAnsi="Avenir Next"/>
                <w:color w:val="0D0D0D" w:themeColor="text1" w:themeTint="F2"/>
              </w:rPr>
              <w:t>.</w:t>
            </w:r>
          </w:p>
        </w:tc>
      </w:tr>
      <w:tr w:rsidR="00EE2B77" w:rsidRPr="00EE2B77" w14:paraId="6F886BB9" w14:textId="77777777" w:rsidTr="00EE2B77">
        <w:tc>
          <w:tcPr>
            <w:tcW w:w="9010" w:type="dxa"/>
          </w:tcPr>
          <w:p w14:paraId="66B95896" w14:textId="77777777" w:rsidR="00EE2B77" w:rsidRPr="00EE2B77" w:rsidRDefault="00EE2B77" w:rsidP="00437F7E">
            <w:pPr>
              <w:pStyle w:val="NormalWeb"/>
              <w:spacing w:before="0" w:beforeAutospacing="0" w:after="0" w:afterAutospacing="0"/>
              <w:textAlignment w:val="baseline"/>
              <w:rPr>
                <w:rFonts w:ascii="Avenir Next" w:hAnsi="Avenir Next"/>
                <w:color w:val="0D0D0D" w:themeColor="text1" w:themeTint="F2"/>
              </w:rPr>
            </w:pPr>
          </w:p>
        </w:tc>
      </w:tr>
      <w:tr w:rsidR="00EE2B77" w:rsidRPr="00EE2B77" w14:paraId="21DD8CE1" w14:textId="77777777" w:rsidTr="00EE2B77">
        <w:tc>
          <w:tcPr>
            <w:tcW w:w="9010" w:type="dxa"/>
          </w:tcPr>
          <w:p w14:paraId="5F99945D" w14:textId="77777777" w:rsidR="00EE2B77" w:rsidRPr="00EE2B77" w:rsidRDefault="00EE2B77" w:rsidP="00437F7E">
            <w:pPr>
              <w:pStyle w:val="NormalWeb"/>
              <w:spacing w:before="0" w:beforeAutospacing="0" w:after="0" w:afterAutospacing="0"/>
              <w:textAlignment w:val="baseline"/>
              <w:rPr>
                <w:rFonts w:ascii="Avenir Next" w:hAnsi="Avenir Next"/>
                <w:color w:val="0D0D0D" w:themeColor="text1" w:themeTint="F2"/>
              </w:rPr>
            </w:pPr>
            <w:r w:rsidRPr="00EE2B77">
              <w:rPr>
                <w:rFonts w:ascii="Avenir Next" w:hAnsi="Avenir Next"/>
                <w:color w:val="0D0D0D" w:themeColor="text1" w:themeTint="F2"/>
              </w:rPr>
              <w:t>We appreciate that there may still be individuals in the workplace concerned about catching COVID-19, particularly those who may be clinically vulnerable or who live with someone who is clinically vulnerable. We will work with such individuals to find workable solutions to certain circumstances surrounding COVID-19.</w:t>
            </w:r>
          </w:p>
        </w:tc>
      </w:tr>
      <w:tr w:rsidR="00EE2B77" w:rsidRPr="00EE2B77" w14:paraId="79F7BC97" w14:textId="77777777" w:rsidTr="00EE2B77">
        <w:tc>
          <w:tcPr>
            <w:tcW w:w="9010" w:type="dxa"/>
          </w:tcPr>
          <w:p w14:paraId="4B724617" w14:textId="77777777" w:rsidR="00EE2B77" w:rsidRPr="00EE2B77" w:rsidRDefault="00EE2B77" w:rsidP="00437F7E">
            <w:pPr>
              <w:pStyle w:val="NormalWeb"/>
              <w:spacing w:before="225" w:beforeAutospacing="0" w:after="0" w:afterAutospacing="0"/>
              <w:textAlignment w:val="baseline"/>
              <w:rPr>
                <w:rFonts w:ascii="Avenir Next" w:hAnsi="Avenir Next"/>
                <w:color w:val="0D0D0D" w:themeColor="text1" w:themeTint="F2"/>
              </w:rPr>
            </w:pPr>
          </w:p>
        </w:tc>
      </w:tr>
      <w:tr w:rsidR="00EE2B77" w:rsidRPr="00EE2B77" w14:paraId="2BE7E4C9" w14:textId="77777777" w:rsidTr="00EE2B77">
        <w:tc>
          <w:tcPr>
            <w:tcW w:w="9010" w:type="dxa"/>
          </w:tcPr>
          <w:p w14:paraId="300ADDB3" w14:textId="77777777" w:rsidR="00EE2B77" w:rsidRPr="00EE2B77" w:rsidRDefault="00EE2B77" w:rsidP="00437F7E">
            <w:pPr>
              <w:pStyle w:val="NormalWeb"/>
              <w:rPr>
                <w:rFonts w:ascii="Avenir Next" w:hAnsi="Avenir Next" w:cs="Arial"/>
                <w:b/>
                <w:bCs/>
                <w:color w:val="0D0D0D" w:themeColor="text1" w:themeTint="F2"/>
                <w:u w:val="single"/>
              </w:rPr>
            </w:pPr>
            <w:r w:rsidRPr="00EE2B77">
              <w:rPr>
                <w:rFonts w:ascii="Avenir Next" w:hAnsi="Avenir Next" w:cs="Arial"/>
                <w:b/>
                <w:bCs/>
                <w:color w:val="0D0D0D" w:themeColor="text1" w:themeTint="F2"/>
                <w:u w:val="single"/>
              </w:rPr>
              <w:t>Sickness and Illness Policy</w:t>
            </w:r>
          </w:p>
        </w:tc>
      </w:tr>
      <w:tr w:rsidR="00EE2B77" w:rsidRPr="00EE2B77" w14:paraId="1F652F1C" w14:textId="77777777" w:rsidTr="00EE2B77">
        <w:tc>
          <w:tcPr>
            <w:tcW w:w="9010" w:type="dxa"/>
          </w:tcPr>
          <w:p w14:paraId="7A40B4CE" w14:textId="77777777" w:rsidR="00EE2B77" w:rsidRPr="00EE2B77" w:rsidRDefault="00EE2B77" w:rsidP="00437F7E">
            <w:pPr>
              <w:pStyle w:val="NormalWeb"/>
              <w:rPr>
                <w:rFonts w:ascii="Avenir Next" w:hAnsi="Avenir Next" w:cs="Arial"/>
                <w:color w:val="0D0D0D" w:themeColor="text1" w:themeTint="F2"/>
              </w:rPr>
            </w:pPr>
            <w:r w:rsidRPr="00EE2B77">
              <w:rPr>
                <w:rFonts w:ascii="Avenir Next" w:hAnsi="Avenir Next" w:cs="Arial"/>
                <w:color w:val="0D0D0D" w:themeColor="text1" w:themeTint="F2"/>
              </w:rPr>
              <w:t xml:space="preserve">We wanted to take the opportunity to remind parents of our sickness policy, something which has long been common practice across early years. If a child is </w:t>
            </w:r>
            <w:proofErr w:type="gramStart"/>
            <w:r w:rsidRPr="00EE2B77">
              <w:rPr>
                <w:rFonts w:ascii="Avenir Next" w:hAnsi="Avenir Next" w:cs="Arial"/>
                <w:color w:val="0D0D0D" w:themeColor="text1" w:themeTint="F2"/>
              </w:rPr>
              <w:lastRenderedPageBreak/>
              <w:t>unwell</w:t>
            </w:r>
            <w:proofErr w:type="gramEnd"/>
            <w:r w:rsidRPr="00EE2B77">
              <w:rPr>
                <w:rFonts w:ascii="Avenir Next" w:hAnsi="Avenir Next" w:cs="Arial"/>
                <w:color w:val="0D0D0D" w:themeColor="text1" w:themeTint="F2"/>
              </w:rPr>
              <w:t xml:space="preserve"> it is in their best interest to be in a home environment rather than at nursery with their peers. We appreciate the knock-on implications of requesting a child to be collected and want to reassure you we only do so in the best interest of your child.</w:t>
            </w:r>
          </w:p>
        </w:tc>
      </w:tr>
      <w:tr w:rsidR="00EE2B77" w:rsidRPr="00EE2B77" w14:paraId="60236AAE" w14:textId="77777777" w:rsidTr="00EE2B77">
        <w:tc>
          <w:tcPr>
            <w:tcW w:w="9010" w:type="dxa"/>
          </w:tcPr>
          <w:p w14:paraId="07CD0AC9" w14:textId="77777777" w:rsidR="00EE2B77" w:rsidRPr="00EE2B77" w:rsidRDefault="00EE2B77" w:rsidP="00437F7E">
            <w:pPr>
              <w:rPr>
                <w:rFonts w:ascii="Avenir Next" w:hAnsi="Avenir Next"/>
                <w:color w:val="0D0D0D" w:themeColor="text1" w:themeTint="F2"/>
              </w:rPr>
            </w:pPr>
            <w:r w:rsidRPr="00EE2B77">
              <w:rPr>
                <w:rFonts w:ascii="Avenir Next" w:hAnsi="Avenir Next"/>
                <w:color w:val="0D0D0D" w:themeColor="text1" w:themeTint="F2"/>
              </w:rPr>
              <w:lastRenderedPageBreak/>
              <w:t>Many thanks for you continued understanding and cooperation,</w:t>
            </w:r>
          </w:p>
        </w:tc>
      </w:tr>
      <w:tr w:rsidR="00EE2B77" w:rsidRPr="00EE2B77" w14:paraId="766597E9" w14:textId="77777777" w:rsidTr="00EE2B77">
        <w:tc>
          <w:tcPr>
            <w:tcW w:w="9010" w:type="dxa"/>
          </w:tcPr>
          <w:p w14:paraId="49C06EC0" w14:textId="77777777" w:rsidR="00EE2B77" w:rsidRPr="00EE2B77" w:rsidRDefault="00EE2B77" w:rsidP="00437F7E">
            <w:pPr>
              <w:rPr>
                <w:rFonts w:ascii="Avenir Next" w:hAnsi="Avenir Next"/>
                <w:color w:val="0D0D0D" w:themeColor="text1" w:themeTint="F2"/>
              </w:rPr>
            </w:pPr>
          </w:p>
        </w:tc>
      </w:tr>
      <w:tr w:rsidR="00EE2B77" w:rsidRPr="00EE2B77" w14:paraId="34374E1E" w14:textId="77777777" w:rsidTr="00EE2B77">
        <w:tc>
          <w:tcPr>
            <w:tcW w:w="9010" w:type="dxa"/>
          </w:tcPr>
          <w:p w14:paraId="3281AF85" w14:textId="77777777" w:rsidR="00EE2B77" w:rsidRPr="00EE2B77" w:rsidRDefault="00EE2B77" w:rsidP="00437F7E">
            <w:pPr>
              <w:rPr>
                <w:rFonts w:ascii="Avenir Next" w:hAnsi="Avenir Next"/>
                <w:color w:val="0D0D0D" w:themeColor="text1" w:themeTint="F2"/>
              </w:rPr>
            </w:pPr>
            <w:r w:rsidRPr="00EE2B77">
              <w:rPr>
                <w:rFonts w:ascii="Avenir Next" w:hAnsi="Avenir Next"/>
                <w:color w:val="0D0D0D" w:themeColor="text1" w:themeTint="F2"/>
              </w:rPr>
              <w:t xml:space="preserve">Alice, </w:t>
            </w:r>
            <w:proofErr w:type="gramStart"/>
            <w:r w:rsidRPr="00EE2B77">
              <w:rPr>
                <w:rFonts w:ascii="Avenir Next" w:hAnsi="Avenir Next"/>
                <w:color w:val="0D0D0D" w:themeColor="text1" w:themeTint="F2"/>
              </w:rPr>
              <w:t>Tim</w:t>
            </w:r>
            <w:proofErr w:type="gramEnd"/>
            <w:r w:rsidRPr="00EE2B77">
              <w:rPr>
                <w:rFonts w:ascii="Avenir Next" w:hAnsi="Avenir Next"/>
                <w:color w:val="0D0D0D" w:themeColor="text1" w:themeTint="F2"/>
              </w:rPr>
              <w:t xml:space="preserve"> and George Apel</w:t>
            </w:r>
          </w:p>
        </w:tc>
      </w:tr>
      <w:tr w:rsidR="00EE2B77" w:rsidRPr="00EE2B77" w14:paraId="0A93AE4F" w14:textId="77777777" w:rsidTr="00EE2B77">
        <w:tc>
          <w:tcPr>
            <w:tcW w:w="9010" w:type="dxa"/>
          </w:tcPr>
          <w:p w14:paraId="48BCB5B5" w14:textId="77777777" w:rsidR="00EE2B77" w:rsidRPr="00EE2B77" w:rsidRDefault="00EE2B77" w:rsidP="00437F7E">
            <w:pPr>
              <w:rPr>
                <w:rFonts w:ascii="Avenir Next" w:hAnsi="Avenir Next"/>
                <w:color w:val="0D0D0D" w:themeColor="text1" w:themeTint="F2"/>
              </w:rPr>
            </w:pPr>
          </w:p>
        </w:tc>
      </w:tr>
    </w:tbl>
    <w:p w14:paraId="1A534C63" w14:textId="77777777" w:rsidR="0063288D" w:rsidRPr="00E92FA4" w:rsidRDefault="00EE2B77" w:rsidP="00EE2B77">
      <w:pPr>
        <w:rPr>
          <w:color w:val="0D0D0D" w:themeColor="text1" w:themeTint="F2"/>
        </w:rPr>
      </w:pPr>
    </w:p>
    <w:sectPr w:rsidR="0063288D" w:rsidRPr="00E92FA4" w:rsidSect="004E5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BBD"/>
    <w:multiLevelType w:val="multilevel"/>
    <w:tmpl w:val="CAC6A8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FC46EA"/>
    <w:multiLevelType w:val="multilevel"/>
    <w:tmpl w:val="844E20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85826332">
    <w:abstractNumId w:val="0"/>
  </w:num>
  <w:num w:numId="2" w16cid:durableId="164897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79"/>
    <w:rsid w:val="00023EBB"/>
    <w:rsid w:val="00082252"/>
    <w:rsid w:val="000C3B7E"/>
    <w:rsid w:val="00115C81"/>
    <w:rsid w:val="001F742F"/>
    <w:rsid w:val="002200FC"/>
    <w:rsid w:val="00286543"/>
    <w:rsid w:val="002A1910"/>
    <w:rsid w:val="002F7F9F"/>
    <w:rsid w:val="00301C99"/>
    <w:rsid w:val="00343C67"/>
    <w:rsid w:val="00387703"/>
    <w:rsid w:val="003E1FF7"/>
    <w:rsid w:val="00443DAE"/>
    <w:rsid w:val="004E5669"/>
    <w:rsid w:val="005810C9"/>
    <w:rsid w:val="007B2E15"/>
    <w:rsid w:val="009231B1"/>
    <w:rsid w:val="009C16A7"/>
    <w:rsid w:val="00A07604"/>
    <w:rsid w:val="00A27D7B"/>
    <w:rsid w:val="00A60B02"/>
    <w:rsid w:val="00A74B79"/>
    <w:rsid w:val="00AB4B09"/>
    <w:rsid w:val="00AF32B4"/>
    <w:rsid w:val="00B77EAF"/>
    <w:rsid w:val="00BA077F"/>
    <w:rsid w:val="00BC2FBC"/>
    <w:rsid w:val="00C32179"/>
    <w:rsid w:val="00D96A18"/>
    <w:rsid w:val="00E92FA4"/>
    <w:rsid w:val="00EA7B0C"/>
    <w:rsid w:val="00EE2B77"/>
    <w:rsid w:val="00F317FC"/>
    <w:rsid w:val="00F672BE"/>
    <w:rsid w:val="00F7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B50D1"/>
  <w15:chartTrackingRefBased/>
  <w15:docId w15:val="{400BA6AE-F7EC-864D-9B28-F3B0E5C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B7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74B79"/>
    <w:rPr>
      <w:color w:val="0563C1" w:themeColor="hyperlink"/>
      <w:u w:val="single"/>
    </w:rPr>
  </w:style>
  <w:style w:type="character" w:styleId="UnresolvedMention">
    <w:name w:val="Unresolved Mention"/>
    <w:basedOn w:val="DefaultParagraphFont"/>
    <w:uiPriority w:val="99"/>
    <w:semiHidden/>
    <w:unhideWhenUsed/>
    <w:rsid w:val="00115C81"/>
    <w:rPr>
      <w:color w:val="605E5C"/>
      <w:shd w:val="clear" w:color="auto" w:fill="E1DFDD"/>
    </w:rPr>
  </w:style>
  <w:style w:type="table" w:styleId="TableGrid">
    <w:name w:val="Table Grid"/>
    <w:basedOn w:val="TableNormal"/>
    <w:uiPriority w:val="39"/>
    <w:rsid w:val="00EE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71265">
      <w:bodyDiv w:val="1"/>
      <w:marLeft w:val="0"/>
      <w:marRight w:val="0"/>
      <w:marTop w:val="0"/>
      <w:marBottom w:val="0"/>
      <w:divBdr>
        <w:top w:val="none" w:sz="0" w:space="0" w:color="auto"/>
        <w:left w:val="none" w:sz="0" w:space="0" w:color="auto"/>
        <w:bottom w:val="none" w:sz="0" w:space="0" w:color="auto"/>
        <w:right w:val="none" w:sz="0" w:space="0" w:color="auto"/>
      </w:divBdr>
    </w:div>
    <w:div w:id="18519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ertonhouse.co.uk/wp-content/uploads/2022/04/covid-19-risk-assessment-April-2022.pdf" TargetMode="External"/><Relationship Id="rId5" Type="http://schemas.openxmlformats.org/officeDocument/2006/relationships/hyperlink" Target="https://www.gov.uk/guidance/people-with-symptoms-of-a-respiratory-infection-includ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Apel</dc:creator>
  <cp:keywords/>
  <dc:description/>
  <cp:lastModifiedBy>George Apel</cp:lastModifiedBy>
  <cp:revision>6</cp:revision>
  <cp:lastPrinted>2022-03-30T10:48:00Z</cp:lastPrinted>
  <dcterms:created xsi:type="dcterms:W3CDTF">2022-04-04T11:50:00Z</dcterms:created>
  <dcterms:modified xsi:type="dcterms:W3CDTF">2022-04-04T13:33:00Z</dcterms:modified>
</cp:coreProperties>
</file>